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Look w:val="04A0" w:firstRow="1" w:lastRow="0" w:firstColumn="1" w:lastColumn="0" w:noHBand="0" w:noVBand="1"/>
      </w:tblPr>
      <w:tblGrid>
        <w:gridCol w:w="2278"/>
        <w:gridCol w:w="5655"/>
        <w:gridCol w:w="6237"/>
      </w:tblGrid>
      <w:tr w:rsidR="003854B0" w:rsidRPr="00D967D8" w14:paraId="67A52A72" w14:textId="77777777" w:rsidTr="00B2175C">
        <w:tc>
          <w:tcPr>
            <w:tcW w:w="2278" w:type="dxa"/>
            <w:shd w:val="clear" w:color="auto" w:fill="BDD6EE" w:themeFill="accent1" w:themeFillTint="66"/>
          </w:tcPr>
          <w:p w14:paraId="791A1CEB" w14:textId="77777777" w:rsidR="003854B0" w:rsidRPr="00B2175C" w:rsidRDefault="003854B0" w:rsidP="00D967D8">
            <w:pPr>
              <w:jc w:val="center"/>
              <w:rPr>
                <w:rFonts w:ascii="Arial" w:hAnsi="Arial" w:cs="Arial"/>
                <w:b/>
                <w:sz w:val="17"/>
                <w:szCs w:val="17"/>
              </w:rPr>
            </w:pPr>
            <w:r w:rsidRPr="00B2175C">
              <w:rPr>
                <w:rFonts w:ascii="Arial" w:hAnsi="Arial" w:cs="Arial"/>
                <w:b/>
                <w:sz w:val="17"/>
                <w:szCs w:val="17"/>
              </w:rPr>
              <w:t>Preguntas</w:t>
            </w:r>
          </w:p>
        </w:tc>
        <w:tc>
          <w:tcPr>
            <w:tcW w:w="5655" w:type="dxa"/>
            <w:shd w:val="clear" w:color="auto" w:fill="BDD6EE" w:themeFill="accent1" w:themeFillTint="66"/>
          </w:tcPr>
          <w:p w14:paraId="79D44AB2" w14:textId="77777777" w:rsidR="003854B0" w:rsidRPr="00D967D8" w:rsidRDefault="003854B0" w:rsidP="00D967D8">
            <w:pPr>
              <w:jc w:val="center"/>
              <w:rPr>
                <w:rFonts w:ascii="Arial" w:hAnsi="Arial" w:cs="Arial"/>
                <w:b/>
                <w:sz w:val="17"/>
                <w:szCs w:val="17"/>
              </w:rPr>
            </w:pPr>
            <w:r w:rsidRPr="00D967D8">
              <w:rPr>
                <w:rFonts w:ascii="Arial" w:hAnsi="Arial" w:cs="Arial"/>
                <w:b/>
                <w:sz w:val="17"/>
                <w:szCs w:val="17"/>
              </w:rPr>
              <w:t>Beneficios Ley 16.744. Seguro Escolar</w:t>
            </w:r>
          </w:p>
          <w:p w14:paraId="60427B15" w14:textId="77777777" w:rsidR="003854B0" w:rsidRPr="00D967D8" w:rsidRDefault="003854B0" w:rsidP="00D967D8">
            <w:pPr>
              <w:jc w:val="center"/>
              <w:rPr>
                <w:rFonts w:ascii="Arial" w:hAnsi="Arial" w:cs="Arial"/>
                <w:b/>
                <w:sz w:val="17"/>
                <w:szCs w:val="17"/>
              </w:rPr>
            </w:pPr>
          </w:p>
        </w:tc>
        <w:tc>
          <w:tcPr>
            <w:tcW w:w="6237" w:type="dxa"/>
            <w:shd w:val="clear" w:color="auto" w:fill="BDD6EE" w:themeFill="accent1" w:themeFillTint="66"/>
          </w:tcPr>
          <w:p w14:paraId="7178CE89" w14:textId="4D512C50" w:rsidR="003854B0" w:rsidRPr="00D967D8" w:rsidRDefault="003854B0" w:rsidP="00D967D8">
            <w:pPr>
              <w:jc w:val="center"/>
              <w:rPr>
                <w:rFonts w:ascii="Arial" w:hAnsi="Arial" w:cs="Arial"/>
                <w:b/>
                <w:sz w:val="17"/>
                <w:szCs w:val="17"/>
              </w:rPr>
            </w:pPr>
            <w:r w:rsidRPr="00D967D8">
              <w:rPr>
                <w:rFonts w:ascii="Arial" w:hAnsi="Arial" w:cs="Arial"/>
                <w:b/>
                <w:sz w:val="17"/>
                <w:szCs w:val="17"/>
              </w:rPr>
              <w:t xml:space="preserve">Seguro </w:t>
            </w:r>
            <w:r w:rsidR="00B65F8E">
              <w:rPr>
                <w:rFonts w:ascii="Arial" w:hAnsi="Arial" w:cs="Arial"/>
                <w:b/>
                <w:sz w:val="17"/>
                <w:szCs w:val="17"/>
              </w:rPr>
              <w:t xml:space="preserve">de Accidentes </w:t>
            </w:r>
            <w:r w:rsidRPr="00D967D8">
              <w:rPr>
                <w:rFonts w:ascii="Arial" w:hAnsi="Arial" w:cs="Arial"/>
                <w:b/>
                <w:sz w:val="17"/>
                <w:szCs w:val="17"/>
              </w:rPr>
              <w:t>Santo Tomás</w:t>
            </w:r>
            <w:r w:rsidR="00B65F8E">
              <w:rPr>
                <w:rFonts w:ascii="Arial" w:hAnsi="Arial" w:cs="Arial"/>
                <w:b/>
                <w:sz w:val="17"/>
                <w:szCs w:val="17"/>
              </w:rPr>
              <w:t xml:space="preserve"> </w:t>
            </w:r>
            <w:r w:rsidR="00A16BC1">
              <w:rPr>
                <w:rFonts w:ascii="Arial" w:hAnsi="Arial" w:cs="Arial"/>
                <w:b/>
                <w:sz w:val="17"/>
                <w:szCs w:val="17"/>
              </w:rPr>
              <w:t>–</w:t>
            </w:r>
            <w:r w:rsidR="00B65F8E">
              <w:rPr>
                <w:rFonts w:ascii="Arial" w:hAnsi="Arial" w:cs="Arial"/>
                <w:b/>
                <w:sz w:val="17"/>
                <w:szCs w:val="17"/>
              </w:rPr>
              <w:t xml:space="preserve"> </w:t>
            </w:r>
            <w:r w:rsidR="00A16BC1">
              <w:rPr>
                <w:rFonts w:ascii="Arial" w:hAnsi="Arial" w:cs="Arial"/>
                <w:b/>
                <w:sz w:val="17"/>
                <w:szCs w:val="17"/>
              </w:rPr>
              <w:t>MAPFRE Vida</w:t>
            </w:r>
          </w:p>
          <w:p w14:paraId="42984BEA" w14:textId="77777777" w:rsidR="003854B0" w:rsidRPr="00D967D8" w:rsidRDefault="003854B0" w:rsidP="00D967D8">
            <w:pPr>
              <w:jc w:val="center"/>
              <w:rPr>
                <w:rFonts w:ascii="Arial" w:hAnsi="Arial" w:cs="Arial"/>
                <w:b/>
                <w:sz w:val="17"/>
                <w:szCs w:val="17"/>
              </w:rPr>
            </w:pPr>
          </w:p>
        </w:tc>
      </w:tr>
      <w:tr w:rsidR="003854B0" w14:paraId="66A882CF" w14:textId="77777777" w:rsidTr="00DC3F16">
        <w:tc>
          <w:tcPr>
            <w:tcW w:w="2278" w:type="dxa"/>
          </w:tcPr>
          <w:p w14:paraId="465A3A78" w14:textId="77777777" w:rsidR="003854B0" w:rsidRPr="00B2175C" w:rsidRDefault="003854B0" w:rsidP="003854B0">
            <w:pPr>
              <w:jc w:val="both"/>
              <w:rPr>
                <w:rFonts w:ascii="Arial" w:hAnsi="Arial" w:cs="Arial"/>
                <w:b/>
                <w:sz w:val="17"/>
                <w:szCs w:val="17"/>
              </w:rPr>
            </w:pPr>
            <w:r w:rsidRPr="00B2175C">
              <w:rPr>
                <w:rFonts w:ascii="Arial" w:hAnsi="Arial" w:cs="Arial"/>
                <w:b/>
                <w:sz w:val="17"/>
                <w:szCs w:val="17"/>
              </w:rPr>
              <w:t>A quienes Beneficia</w:t>
            </w:r>
          </w:p>
        </w:tc>
        <w:tc>
          <w:tcPr>
            <w:tcW w:w="5655" w:type="dxa"/>
          </w:tcPr>
          <w:p w14:paraId="0E81EC62" w14:textId="77777777" w:rsidR="003854B0" w:rsidRDefault="003854B0" w:rsidP="00DC3F16">
            <w:pPr>
              <w:jc w:val="both"/>
              <w:rPr>
                <w:rFonts w:ascii="Arial" w:hAnsi="Arial" w:cs="Arial"/>
                <w:sz w:val="17"/>
                <w:szCs w:val="17"/>
              </w:rPr>
            </w:pPr>
            <w:r w:rsidRPr="00097B48">
              <w:rPr>
                <w:rFonts w:ascii="Arial" w:hAnsi="Arial" w:cs="Arial"/>
                <w:sz w:val="17"/>
                <w:szCs w:val="17"/>
              </w:rPr>
              <w:t xml:space="preserve">Beneficia a todos los alumnos de establecimiento públicos o privados reconocidos por el estado </w:t>
            </w:r>
            <w:r w:rsidR="00DC3F16">
              <w:rPr>
                <w:rFonts w:ascii="Arial" w:hAnsi="Arial" w:cs="Arial"/>
                <w:sz w:val="17"/>
                <w:szCs w:val="17"/>
              </w:rPr>
              <w:t xml:space="preserve">de cualquier nivel de enseñanza y que estén matriculados con estado </w:t>
            </w:r>
            <w:r w:rsidR="00DD042D">
              <w:rPr>
                <w:rFonts w:ascii="Arial" w:hAnsi="Arial" w:cs="Arial"/>
                <w:sz w:val="17"/>
                <w:szCs w:val="17"/>
              </w:rPr>
              <w:t xml:space="preserve">vigente. El beneficio se suspende cuando el </w:t>
            </w:r>
            <w:r w:rsidR="00B2175C">
              <w:rPr>
                <w:rFonts w:ascii="Arial" w:hAnsi="Arial" w:cs="Arial"/>
                <w:sz w:val="17"/>
                <w:szCs w:val="17"/>
              </w:rPr>
              <w:t>alumno</w:t>
            </w:r>
            <w:r w:rsidR="00DD042D">
              <w:rPr>
                <w:rFonts w:ascii="Arial" w:hAnsi="Arial" w:cs="Arial"/>
                <w:sz w:val="17"/>
                <w:szCs w:val="17"/>
              </w:rPr>
              <w:t xml:space="preserve"> está de vacaciones. </w:t>
            </w:r>
          </w:p>
        </w:tc>
        <w:tc>
          <w:tcPr>
            <w:tcW w:w="6237" w:type="dxa"/>
          </w:tcPr>
          <w:p w14:paraId="29561676" w14:textId="46B76737" w:rsidR="003854B0" w:rsidRDefault="003854B0" w:rsidP="003854B0">
            <w:pPr>
              <w:jc w:val="both"/>
              <w:rPr>
                <w:rFonts w:ascii="Arial" w:hAnsi="Arial" w:cs="Arial"/>
                <w:sz w:val="17"/>
                <w:szCs w:val="17"/>
              </w:rPr>
            </w:pPr>
            <w:r w:rsidRPr="00097B48">
              <w:rPr>
                <w:rFonts w:ascii="Arial" w:hAnsi="Arial" w:cs="Arial"/>
                <w:sz w:val="17"/>
                <w:szCs w:val="17"/>
              </w:rPr>
              <w:t xml:space="preserve">Beneficia a todos los </w:t>
            </w:r>
            <w:r w:rsidR="00B65F8E">
              <w:rPr>
                <w:rFonts w:ascii="Arial" w:hAnsi="Arial" w:cs="Arial"/>
                <w:sz w:val="17"/>
                <w:szCs w:val="17"/>
              </w:rPr>
              <w:t xml:space="preserve">y las estudiantes de </w:t>
            </w:r>
            <w:r w:rsidRPr="00097B48">
              <w:rPr>
                <w:rFonts w:ascii="Arial" w:hAnsi="Arial" w:cs="Arial"/>
                <w:sz w:val="17"/>
                <w:szCs w:val="17"/>
              </w:rPr>
              <w:t xml:space="preserve">Santo Tomás </w:t>
            </w:r>
            <w:r w:rsidR="00B65F8E">
              <w:rPr>
                <w:rFonts w:ascii="Arial" w:hAnsi="Arial" w:cs="Arial"/>
                <w:sz w:val="17"/>
                <w:szCs w:val="17"/>
              </w:rPr>
              <w:t>con matrícula vigente.</w:t>
            </w:r>
          </w:p>
        </w:tc>
      </w:tr>
      <w:tr w:rsidR="003854B0" w14:paraId="0E915C48" w14:textId="77777777" w:rsidTr="00DC3F16">
        <w:tc>
          <w:tcPr>
            <w:tcW w:w="2278" w:type="dxa"/>
          </w:tcPr>
          <w:p w14:paraId="69AF2626" w14:textId="77777777" w:rsidR="003854B0" w:rsidRPr="00B2175C" w:rsidRDefault="003854B0" w:rsidP="003854B0">
            <w:pPr>
              <w:jc w:val="both"/>
              <w:rPr>
                <w:rFonts w:ascii="Arial" w:hAnsi="Arial" w:cs="Arial"/>
                <w:b/>
                <w:sz w:val="17"/>
                <w:szCs w:val="17"/>
              </w:rPr>
            </w:pPr>
            <w:r w:rsidRPr="00B2175C">
              <w:rPr>
                <w:rFonts w:ascii="Arial" w:hAnsi="Arial" w:cs="Arial"/>
                <w:b/>
                <w:sz w:val="17"/>
                <w:szCs w:val="17"/>
              </w:rPr>
              <w:t>De qué protege</w:t>
            </w:r>
          </w:p>
        </w:tc>
        <w:tc>
          <w:tcPr>
            <w:tcW w:w="5655" w:type="dxa"/>
          </w:tcPr>
          <w:p w14:paraId="7F576FAB" w14:textId="77777777" w:rsidR="003854B0" w:rsidRDefault="003854B0" w:rsidP="003854B0">
            <w:pPr>
              <w:jc w:val="both"/>
              <w:rPr>
                <w:rFonts w:ascii="Arial" w:hAnsi="Arial" w:cs="Arial"/>
                <w:sz w:val="17"/>
                <w:szCs w:val="17"/>
              </w:rPr>
            </w:pPr>
            <w:r w:rsidRPr="00097B48">
              <w:rPr>
                <w:rFonts w:ascii="Arial" w:hAnsi="Arial" w:cs="Arial"/>
                <w:sz w:val="17"/>
                <w:szCs w:val="17"/>
              </w:rPr>
              <w:t xml:space="preserve">De accidentes ocurridos </w:t>
            </w:r>
            <w:r>
              <w:rPr>
                <w:rFonts w:ascii="Arial" w:hAnsi="Arial" w:cs="Arial"/>
                <w:sz w:val="17"/>
                <w:szCs w:val="17"/>
              </w:rPr>
              <w:t xml:space="preserve">en las dependencias de la Institución, en los </w:t>
            </w:r>
            <w:r w:rsidRPr="00097B48">
              <w:rPr>
                <w:rFonts w:ascii="Arial" w:hAnsi="Arial" w:cs="Arial"/>
                <w:sz w:val="17"/>
                <w:szCs w:val="17"/>
              </w:rPr>
              <w:t>trayecto</w:t>
            </w:r>
            <w:r>
              <w:rPr>
                <w:rFonts w:ascii="Arial" w:hAnsi="Arial" w:cs="Arial"/>
                <w:sz w:val="17"/>
                <w:szCs w:val="17"/>
              </w:rPr>
              <w:t>s</w:t>
            </w:r>
            <w:r w:rsidRPr="00097B48">
              <w:rPr>
                <w:rFonts w:ascii="Arial" w:hAnsi="Arial" w:cs="Arial"/>
                <w:sz w:val="17"/>
                <w:szCs w:val="17"/>
              </w:rPr>
              <w:t xml:space="preserve">, en </w:t>
            </w:r>
            <w:r>
              <w:rPr>
                <w:rFonts w:ascii="Arial" w:hAnsi="Arial" w:cs="Arial"/>
                <w:sz w:val="17"/>
                <w:szCs w:val="17"/>
              </w:rPr>
              <w:t>los lugares de práctica</w:t>
            </w:r>
            <w:r w:rsidRPr="00097B48">
              <w:rPr>
                <w:rFonts w:ascii="Arial" w:hAnsi="Arial" w:cs="Arial"/>
                <w:sz w:val="17"/>
                <w:szCs w:val="17"/>
              </w:rPr>
              <w:t xml:space="preserve"> o </w:t>
            </w:r>
            <w:r>
              <w:rPr>
                <w:rFonts w:ascii="Arial" w:hAnsi="Arial" w:cs="Arial"/>
                <w:sz w:val="17"/>
                <w:szCs w:val="17"/>
              </w:rPr>
              <w:t>en lugares donde se estén desarrollando actividades avaladas por la Institución.</w:t>
            </w:r>
          </w:p>
        </w:tc>
        <w:tc>
          <w:tcPr>
            <w:tcW w:w="6237" w:type="dxa"/>
          </w:tcPr>
          <w:p w14:paraId="5863FA97" w14:textId="52C818AA" w:rsidR="003854B0" w:rsidRDefault="00AA1BB2" w:rsidP="00AA1BB2">
            <w:pPr>
              <w:jc w:val="both"/>
              <w:rPr>
                <w:rFonts w:ascii="Arial" w:hAnsi="Arial" w:cs="Arial"/>
                <w:sz w:val="17"/>
                <w:szCs w:val="17"/>
              </w:rPr>
            </w:pPr>
            <w:r w:rsidRPr="00AA1BB2">
              <w:rPr>
                <w:rFonts w:ascii="Arial" w:hAnsi="Arial" w:cs="Arial"/>
                <w:sz w:val="17"/>
                <w:szCs w:val="17"/>
              </w:rPr>
              <w:t>De accidentes ocurridos en las dependencias de la Institución, en los trayectos, en los lugares de práctica o en lugares donde se estén desarrollando actividades avaladas por la Institución.</w:t>
            </w:r>
          </w:p>
        </w:tc>
      </w:tr>
      <w:tr w:rsidR="003854B0" w14:paraId="7CC166A3" w14:textId="77777777" w:rsidTr="00DC3F16">
        <w:tc>
          <w:tcPr>
            <w:tcW w:w="2278" w:type="dxa"/>
          </w:tcPr>
          <w:p w14:paraId="798DFF6F" w14:textId="77777777" w:rsidR="003854B0" w:rsidRPr="00B2175C" w:rsidRDefault="003854B0" w:rsidP="00DC3F16">
            <w:pPr>
              <w:jc w:val="both"/>
              <w:rPr>
                <w:rFonts w:ascii="Arial" w:hAnsi="Arial" w:cs="Arial"/>
                <w:b/>
                <w:sz w:val="17"/>
                <w:szCs w:val="17"/>
              </w:rPr>
            </w:pPr>
            <w:r w:rsidRPr="00B2175C">
              <w:rPr>
                <w:rFonts w:ascii="Arial" w:hAnsi="Arial" w:cs="Arial"/>
                <w:b/>
                <w:sz w:val="17"/>
                <w:szCs w:val="17"/>
              </w:rPr>
              <w:t>Duración del beneficio</w:t>
            </w:r>
            <w:r w:rsidR="00DC3F16" w:rsidRPr="00B2175C">
              <w:rPr>
                <w:rFonts w:ascii="Arial" w:hAnsi="Arial" w:cs="Arial"/>
                <w:b/>
                <w:sz w:val="17"/>
                <w:szCs w:val="17"/>
              </w:rPr>
              <w:t xml:space="preserve"> </w:t>
            </w:r>
          </w:p>
        </w:tc>
        <w:tc>
          <w:tcPr>
            <w:tcW w:w="5655" w:type="dxa"/>
          </w:tcPr>
          <w:p w14:paraId="578D37E3" w14:textId="77777777" w:rsidR="003854B0" w:rsidRDefault="003854B0" w:rsidP="00DC3F16">
            <w:pPr>
              <w:jc w:val="both"/>
              <w:rPr>
                <w:rFonts w:ascii="Arial" w:hAnsi="Arial" w:cs="Arial"/>
                <w:sz w:val="17"/>
                <w:szCs w:val="17"/>
              </w:rPr>
            </w:pPr>
            <w:r w:rsidRPr="003854B0">
              <w:rPr>
                <w:rFonts w:ascii="Arial" w:hAnsi="Arial" w:cs="Arial"/>
                <w:sz w:val="17"/>
                <w:szCs w:val="17"/>
              </w:rPr>
              <w:t xml:space="preserve">Hasta la recuperación total a causa del accidente o mientras subsistan los síntomas de las secuelas causadas por el accidente. </w:t>
            </w:r>
          </w:p>
        </w:tc>
        <w:tc>
          <w:tcPr>
            <w:tcW w:w="6237" w:type="dxa"/>
          </w:tcPr>
          <w:p w14:paraId="5FA5F553" w14:textId="2876FEC2" w:rsidR="003854B0" w:rsidRDefault="003854B0" w:rsidP="003854B0">
            <w:pPr>
              <w:jc w:val="both"/>
              <w:rPr>
                <w:rFonts w:ascii="Arial" w:hAnsi="Arial" w:cs="Arial"/>
                <w:sz w:val="17"/>
                <w:szCs w:val="17"/>
              </w:rPr>
            </w:pPr>
            <w:r>
              <w:rPr>
                <w:rFonts w:ascii="Arial" w:hAnsi="Arial" w:cs="Arial"/>
                <w:sz w:val="17"/>
                <w:szCs w:val="17"/>
              </w:rPr>
              <w:t>M</w:t>
            </w:r>
            <w:r w:rsidRPr="00097B48">
              <w:rPr>
                <w:rFonts w:ascii="Arial" w:hAnsi="Arial" w:cs="Arial"/>
                <w:sz w:val="17"/>
                <w:szCs w:val="17"/>
              </w:rPr>
              <w:t>ientras el alumno tenga m</w:t>
            </w:r>
            <w:r>
              <w:rPr>
                <w:rFonts w:ascii="Arial" w:hAnsi="Arial" w:cs="Arial"/>
                <w:sz w:val="17"/>
                <w:szCs w:val="17"/>
              </w:rPr>
              <w:t xml:space="preserve">atricula vigente en Santo Tomás o llegues al tope de </w:t>
            </w:r>
            <w:r w:rsidR="009E2570">
              <w:rPr>
                <w:rFonts w:ascii="Arial" w:hAnsi="Arial" w:cs="Arial"/>
                <w:sz w:val="17"/>
                <w:szCs w:val="17"/>
              </w:rPr>
              <w:t xml:space="preserve">350 </w:t>
            </w:r>
            <w:r>
              <w:rPr>
                <w:rFonts w:ascii="Arial" w:hAnsi="Arial" w:cs="Arial"/>
                <w:sz w:val="17"/>
                <w:szCs w:val="17"/>
              </w:rPr>
              <w:t xml:space="preserve">UF anuales. </w:t>
            </w:r>
          </w:p>
        </w:tc>
      </w:tr>
      <w:tr w:rsidR="003854B0" w14:paraId="24B7AAD6" w14:textId="77777777" w:rsidTr="00DC3F16">
        <w:tc>
          <w:tcPr>
            <w:tcW w:w="2278" w:type="dxa"/>
          </w:tcPr>
          <w:p w14:paraId="228B743A" w14:textId="77777777" w:rsidR="003854B0" w:rsidRPr="00B2175C" w:rsidRDefault="003854B0" w:rsidP="003854B0">
            <w:pPr>
              <w:jc w:val="both"/>
              <w:rPr>
                <w:rFonts w:ascii="Arial" w:hAnsi="Arial" w:cs="Arial"/>
                <w:b/>
                <w:sz w:val="17"/>
                <w:szCs w:val="17"/>
              </w:rPr>
            </w:pPr>
            <w:r w:rsidRPr="00B2175C">
              <w:rPr>
                <w:rFonts w:ascii="Arial" w:hAnsi="Arial" w:cs="Arial"/>
                <w:b/>
                <w:sz w:val="17"/>
                <w:szCs w:val="17"/>
              </w:rPr>
              <w:t>Qué es un accidente escolar</w:t>
            </w:r>
          </w:p>
        </w:tc>
        <w:tc>
          <w:tcPr>
            <w:tcW w:w="5655" w:type="dxa"/>
          </w:tcPr>
          <w:p w14:paraId="5AF69608" w14:textId="77777777" w:rsidR="003854B0" w:rsidRPr="003854B0" w:rsidRDefault="003854B0" w:rsidP="003854B0">
            <w:pPr>
              <w:jc w:val="both"/>
              <w:rPr>
                <w:rFonts w:ascii="Arial" w:hAnsi="Arial" w:cs="Arial"/>
                <w:sz w:val="17"/>
                <w:szCs w:val="17"/>
              </w:rPr>
            </w:pPr>
            <w:r w:rsidRPr="003854B0">
              <w:rPr>
                <w:rFonts w:ascii="Arial" w:hAnsi="Arial" w:cs="Arial"/>
                <w:sz w:val="17"/>
                <w:szCs w:val="17"/>
              </w:rPr>
              <w:t>Toda lesión que sufra un estudiante a causa o con ocasión de sus estudios, la práctica o el trayecto, que le produzca incapacidad o muerte.</w:t>
            </w:r>
          </w:p>
          <w:p w14:paraId="40E69D41" w14:textId="77777777" w:rsidR="003854B0" w:rsidRDefault="003854B0" w:rsidP="003854B0">
            <w:pPr>
              <w:jc w:val="both"/>
              <w:rPr>
                <w:rFonts w:ascii="Arial" w:hAnsi="Arial" w:cs="Arial"/>
                <w:sz w:val="17"/>
                <w:szCs w:val="17"/>
              </w:rPr>
            </w:pPr>
          </w:p>
        </w:tc>
        <w:tc>
          <w:tcPr>
            <w:tcW w:w="6237" w:type="dxa"/>
          </w:tcPr>
          <w:p w14:paraId="6A2B931D" w14:textId="751E42FB" w:rsidR="003854B0" w:rsidRDefault="00CF3BED" w:rsidP="00CF3BED">
            <w:pPr>
              <w:jc w:val="both"/>
              <w:rPr>
                <w:rFonts w:ascii="Arial" w:hAnsi="Arial" w:cs="Arial"/>
                <w:sz w:val="17"/>
                <w:szCs w:val="17"/>
              </w:rPr>
            </w:pPr>
            <w:r w:rsidRPr="00CF3BED">
              <w:rPr>
                <w:rFonts w:ascii="Arial" w:hAnsi="Arial" w:cs="Arial"/>
                <w:sz w:val="17"/>
                <w:szCs w:val="17"/>
              </w:rPr>
              <w:t>Todo suceso imprevisto, involuntario, repentino y fortuito, causado por medios externos, que afecte al organismo del asegurado ocasionándole la muerte o provocándole lesiones que se manifiesten por heridas visibles o contusiones internas, incluyendo asimismo el ahogamiento y la asfixia, torceduras y desgarramientos producidos por esfuerzos repentinos, como también estados septicémicos e infecciones que sean la consecuencia de heridas externas e involuntarias y hayan penetrado por ellas al organismo o bien se hayan desarrollado por efecto de contusiones.</w:t>
            </w:r>
          </w:p>
        </w:tc>
      </w:tr>
      <w:tr w:rsidR="003854B0" w14:paraId="6698C55D" w14:textId="77777777" w:rsidTr="00DC3F16">
        <w:tc>
          <w:tcPr>
            <w:tcW w:w="2278" w:type="dxa"/>
          </w:tcPr>
          <w:p w14:paraId="35218B6A" w14:textId="77777777" w:rsidR="003854B0" w:rsidRPr="00B2175C" w:rsidRDefault="00DC3F16" w:rsidP="003854B0">
            <w:pPr>
              <w:jc w:val="both"/>
              <w:rPr>
                <w:rFonts w:ascii="Arial" w:hAnsi="Arial" w:cs="Arial"/>
                <w:b/>
                <w:sz w:val="17"/>
                <w:szCs w:val="17"/>
              </w:rPr>
            </w:pPr>
            <w:r w:rsidRPr="00B2175C">
              <w:rPr>
                <w:rFonts w:ascii="Arial" w:hAnsi="Arial" w:cs="Arial"/>
                <w:b/>
                <w:sz w:val="17"/>
                <w:szCs w:val="17"/>
              </w:rPr>
              <w:t>Qué accidentes se exceptúan</w:t>
            </w:r>
          </w:p>
        </w:tc>
        <w:tc>
          <w:tcPr>
            <w:tcW w:w="5655" w:type="dxa"/>
          </w:tcPr>
          <w:p w14:paraId="62EE39C6" w14:textId="77777777" w:rsidR="003854B0" w:rsidRPr="003854B0" w:rsidRDefault="003854B0" w:rsidP="003854B0">
            <w:pPr>
              <w:contextualSpacing/>
              <w:jc w:val="both"/>
              <w:rPr>
                <w:rFonts w:ascii="Arial" w:hAnsi="Arial" w:cs="Arial"/>
                <w:sz w:val="17"/>
                <w:szCs w:val="17"/>
              </w:rPr>
            </w:pPr>
            <w:r w:rsidRPr="003854B0">
              <w:rPr>
                <w:rFonts w:ascii="Arial" w:hAnsi="Arial" w:cs="Arial"/>
                <w:sz w:val="17"/>
                <w:szCs w:val="17"/>
              </w:rPr>
              <w:t>Aquellos producidos intencionalmente por la víctima, o los ocurridos por una fuerza mayor, que no tengan relación con los estudios o la práctica profesional.</w:t>
            </w:r>
          </w:p>
          <w:p w14:paraId="682B39B8" w14:textId="77777777" w:rsidR="003854B0" w:rsidRDefault="003854B0" w:rsidP="003854B0">
            <w:pPr>
              <w:jc w:val="both"/>
              <w:rPr>
                <w:rFonts w:ascii="Arial" w:hAnsi="Arial" w:cs="Arial"/>
                <w:sz w:val="17"/>
                <w:szCs w:val="17"/>
              </w:rPr>
            </w:pPr>
          </w:p>
        </w:tc>
        <w:tc>
          <w:tcPr>
            <w:tcW w:w="6237" w:type="dxa"/>
          </w:tcPr>
          <w:p w14:paraId="5D522B0C" w14:textId="052E7692" w:rsidR="00DB626B" w:rsidRDefault="00AA1BB2" w:rsidP="00DB626B">
            <w:pPr>
              <w:contextualSpacing/>
              <w:jc w:val="both"/>
              <w:rPr>
                <w:rFonts w:ascii="Arial" w:hAnsi="Arial" w:cs="Arial"/>
                <w:sz w:val="17"/>
                <w:szCs w:val="17"/>
              </w:rPr>
            </w:pPr>
            <w:r w:rsidRPr="00AA1BB2">
              <w:rPr>
                <w:rFonts w:ascii="Arial" w:hAnsi="Arial" w:cs="Arial"/>
                <w:sz w:val="17"/>
                <w:szCs w:val="17"/>
              </w:rPr>
              <w:t>No se cubren las enfermedades, sino que solo accidentes.</w:t>
            </w:r>
          </w:p>
          <w:p w14:paraId="344A5815" w14:textId="77777777" w:rsidR="00DB626B" w:rsidRDefault="00DB626B" w:rsidP="00DB626B">
            <w:pPr>
              <w:contextualSpacing/>
              <w:jc w:val="both"/>
              <w:rPr>
                <w:rFonts w:ascii="Arial" w:hAnsi="Arial" w:cs="Arial"/>
                <w:sz w:val="17"/>
                <w:szCs w:val="17"/>
              </w:rPr>
            </w:pPr>
          </w:p>
          <w:p w14:paraId="2321E69C" w14:textId="77777777" w:rsidR="003854B0" w:rsidRDefault="003854B0" w:rsidP="00DB626B">
            <w:pPr>
              <w:contextualSpacing/>
              <w:jc w:val="both"/>
              <w:rPr>
                <w:rFonts w:ascii="Arial" w:hAnsi="Arial" w:cs="Arial"/>
                <w:sz w:val="17"/>
                <w:szCs w:val="17"/>
              </w:rPr>
            </w:pPr>
          </w:p>
        </w:tc>
      </w:tr>
      <w:tr w:rsidR="003854B0" w14:paraId="3250868D" w14:textId="77777777" w:rsidTr="00DC3F16">
        <w:tc>
          <w:tcPr>
            <w:tcW w:w="2278" w:type="dxa"/>
          </w:tcPr>
          <w:p w14:paraId="0DD860B2" w14:textId="77777777" w:rsidR="003854B0" w:rsidRPr="003854B0" w:rsidRDefault="00DC3F16" w:rsidP="003854B0">
            <w:pPr>
              <w:contextualSpacing/>
              <w:jc w:val="both"/>
              <w:rPr>
                <w:rFonts w:ascii="Arial" w:hAnsi="Arial" w:cs="Arial"/>
                <w:b/>
                <w:sz w:val="17"/>
                <w:szCs w:val="17"/>
              </w:rPr>
            </w:pPr>
            <w:r w:rsidRPr="00B2175C">
              <w:rPr>
                <w:rFonts w:ascii="Arial" w:hAnsi="Arial" w:cs="Arial"/>
                <w:b/>
                <w:sz w:val="17"/>
                <w:szCs w:val="17"/>
              </w:rPr>
              <w:t>Quién Administra el Seguro</w:t>
            </w:r>
          </w:p>
          <w:p w14:paraId="41025352" w14:textId="77777777" w:rsidR="003854B0" w:rsidRPr="00B2175C" w:rsidRDefault="003854B0" w:rsidP="003854B0">
            <w:pPr>
              <w:jc w:val="both"/>
              <w:rPr>
                <w:rFonts w:ascii="Arial" w:hAnsi="Arial" w:cs="Arial"/>
                <w:b/>
                <w:sz w:val="17"/>
                <w:szCs w:val="17"/>
              </w:rPr>
            </w:pPr>
          </w:p>
        </w:tc>
        <w:tc>
          <w:tcPr>
            <w:tcW w:w="5655" w:type="dxa"/>
          </w:tcPr>
          <w:p w14:paraId="114355A5" w14:textId="77777777" w:rsidR="003854B0" w:rsidRPr="003854B0" w:rsidRDefault="003854B0" w:rsidP="003854B0">
            <w:pPr>
              <w:contextualSpacing/>
              <w:jc w:val="both"/>
              <w:rPr>
                <w:rFonts w:ascii="Arial" w:hAnsi="Arial" w:cs="Arial"/>
                <w:sz w:val="17"/>
                <w:szCs w:val="17"/>
              </w:rPr>
            </w:pPr>
            <w:r w:rsidRPr="003854B0">
              <w:rPr>
                <w:rFonts w:ascii="Arial" w:hAnsi="Arial" w:cs="Arial"/>
                <w:sz w:val="17"/>
                <w:szCs w:val="17"/>
              </w:rPr>
              <w:t>El Ministerio de Salud; otorga las prestaciones médicas.</w:t>
            </w:r>
          </w:p>
          <w:p w14:paraId="5F396126" w14:textId="77777777" w:rsidR="003854B0" w:rsidRPr="003854B0" w:rsidRDefault="003854B0" w:rsidP="003854B0">
            <w:pPr>
              <w:contextualSpacing/>
              <w:jc w:val="both"/>
              <w:rPr>
                <w:rFonts w:ascii="Arial" w:hAnsi="Arial" w:cs="Arial"/>
                <w:sz w:val="17"/>
                <w:szCs w:val="17"/>
              </w:rPr>
            </w:pPr>
          </w:p>
        </w:tc>
        <w:tc>
          <w:tcPr>
            <w:tcW w:w="6237" w:type="dxa"/>
          </w:tcPr>
          <w:p w14:paraId="3750D036" w14:textId="43A96FAD" w:rsidR="003854B0" w:rsidRDefault="00CF3BED" w:rsidP="001A04CB">
            <w:pPr>
              <w:contextualSpacing/>
              <w:jc w:val="both"/>
              <w:rPr>
                <w:rFonts w:ascii="Arial" w:hAnsi="Arial" w:cs="Arial"/>
                <w:sz w:val="17"/>
                <w:szCs w:val="17"/>
              </w:rPr>
            </w:pPr>
            <w:r w:rsidRPr="00CF3BED">
              <w:rPr>
                <w:rFonts w:ascii="Arial" w:hAnsi="Arial" w:cs="Arial"/>
                <w:sz w:val="17"/>
                <w:szCs w:val="17"/>
              </w:rPr>
              <w:t>MAPFRE COMPAÑÍA DE SEGUROS DE VIDA DE CHILE S.A.</w:t>
            </w:r>
          </w:p>
        </w:tc>
      </w:tr>
      <w:tr w:rsidR="003854B0" w14:paraId="35BABD06" w14:textId="77777777" w:rsidTr="00DC3F16">
        <w:tc>
          <w:tcPr>
            <w:tcW w:w="2278" w:type="dxa"/>
          </w:tcPr>
          <w:p w14:paraId="5646AE61" w14:textId="77777777" w:rsidR="00DC3F16" w:rsidRPr="003854B0" w:rsidRDefault="00DC3F16" w:rsidP="00DC3F16">
            <w:pPr>
              <w:contextualSpacing/>
              <w:jc w:val="both"/>
              <w:rPr>
                <w:rFonts w:ascii="Arial" w:hAnsi="Arial" w:cs="Arial"/>
                <w:b/>
                <w:sz w:val="17"/>
                <w:szCs w:val="17"/>
              </w:rPr>
            </w:pPr>
            <w:r w:rsidRPr="003854B0">
              <w:rPr>
                <w:rFonts w:ascii="Arial" w:hAnsi="Arial" w:cs="Arial"/>
                <w:b/>
                <w:sz w:val="17"/>
                <w:szCs w:val="17"/>
              </w:rPr>
              <w:t xml:space="preserve">Beneficios </w:t>
            </w:r>
          </w:p>
          <w:p w14:paraId="709CB34D" w14:textId="77777777" w:rsidR="003854B0" w:rsidRPr="00B2175C" w:rsidRDefault="003854B0" w:rsidP="003854B0">
            <w:pPr>
              <w:jc w:val="both"/>
              <w:rPr>
                <w:rFonts w:ascii="Arial" w:hAnsi="Arial" w:cs="Arial"/>
                <w:b/>
                <w:sz w:val="17"/>
                <w:szCs w:val="17"/>
              </w:rPr>
            </w:pPr>
          </w:p>
        </w:tc>
        <w:tc>
          <w:tcPr>
            <w:tcW w:w="5655" w:type="dxa"/>
          </w:tcPr>
          <w:p w14:paraId="469778AC" w14:textId="77777777" w:rsidR="00DC3F16" w:rsidRDefault="00DC3F16" w:rsidP="00DC3F16">
            <w:pPr>
              <w:contextualSpacing/>
              <w:jc w:val="both"/>
              <w:rPr>
                <w:rFonts w:ascii="Arial" w:hAnsi="Arial" w:cs="Arial"/>
                <w:sz w:val="17"/>
                <w:szCs w:val="17"/>
              </w:rPr>
            </w:pPr>
            <w:r w:rsidRPr="003854B0">
              <w:rPr>
                <w:rFonts w:ascii="Arial" w:hAnsi="Arial" w:cs="Arial"/>
                <w:sz w:val="17"/>
                <w:szCs w:val="17"/>
              </w:rPr>
              <w:t>Prestaciones Médicas: Atención médica, quirúrgica y dental gratuita en establecimientos externos o a domicilio</w:t>
            </w:r>
            <w:r>
              <w:rPr>
                <w:rFonts w:ascii="Arial" w:hAnsi="Arial" w:cs="Arial"/>
                <w:sz w:val="17"/>
                <w:szCs w:val="17"/>
              </w:rPr>
              <w:t>, hospitalizaciones, m</w:t>
            </w:r>
            <w:r w:rsidRPr="003854B0">
              <w:rPr>
                <w:rFonts w:ascii="Arial" w:hAnsi="Arial" w:cs="Arial"/>
                <w:sz w:val="17"/>
                <w:szCs w:val="17"/>
              </w:rPr>
              <w:t>edicame</w:t>
            </w:r>
            <w:r>
              <w:rPr>
                <w:rFonts w:ascii="Arial" w:hAnsi="Arial" w:cs="Arial"/>
                <w:sz w:val="17"/>
                <w:szCs w:val="17"/>
              </w:rPr>
              <w:t>ntos y productos farmacéuticos y r</w:t>
            </w:r>
            <w:r w:rsidRPr="003854B0">
              <w:rPr>
                <w:rFonts w:ascii="Arial" w:hAnsi="Arial" w:cs="Arial"/>
                <w:sz w:val="17"/>
                <w:szCs w:val="17"/>
              </w:rPr>
              <w:t>embolsos</w:t>
            </w:r>
            <w:r>
              <w:rPr>
                <w:rFonts w:ascii="Arial" w:hAnsi="Arial" w:cs="Arial"/>
                <w:sz w:val="17"/>
                <w:szCs w:val="17"/>
              </w:rPr>
              <w:t>, p</w:t>
            </w:r>
            <w:r w:rsidRPr="003854B0">
              <w:rPr>
                <w:rFonts w:ascii="Arial" w:hAnsi="Arial" w:cs="Arial"/>
                <w:sz w:val="17"/>
                <w:szCs w:val="17"/>
              </w:rPr>
              <w:t>rótesis y aparatos ortopédicos y su reparación</w:t>
            </w:r>
            <w:r>
              <w:rPr>
                <w:rFonts w:ascii="Arial" w:hAnsi="Arial" w:cs="Arial"/>
                <w:sz w:val="17"/>
                <w:szCs w:val="17"/>
              </w:rPr>
              <w:t>, r</w:t>
            </w:r>
            <w:r w:rsidRPr="003854B0">
              <w:rPr>
                <w:rFonts w:ascii="Arial" w:hAnsi="Arial" w:cs="Arial"/>
                <w:sz w:val="17"/>
                <w:szCs w:val="17"/>
              </w:rPr>
              <w:t xml:space="preserve">ehabilitación física y reeducación profesional y </w:t>
            </w:r>
            <w:r>
              <w:rPr>
                <w:rFonts w:ascii="Arial" w:hAnsi="Arial" w:cs="Arial"/>
                <w:sz w:val="17"/>
                <w:szCs w:val="17"/>
              </w:rPr>
              <w:t>g</w:t>
            </w:r>
            <w:r w:rsidRPr="003854B0">
              <w:rPr>
                <w:rFonts w:ascii="Arial" w:hAnsi="Arial" w:cs="Arial"/>
                <w:sz w:val="17"/>
                <w:szCs w:val="17"/>
              </w:rPr>
              <w:t>astos de traslado para el otorgamiento de estas prestaciones</w:t>
            </w:r>
            <w:r>
              <w:rPr>
                <w:rFonts w:ascii="Arial" w:hAnsi="Arial" w:cs="Arial"/>
                <w:sz w:val="17"/>
                <w:szCs w:val="17"/>
              </w:rPr>
              <w:t xml:space="preserve">. </w:t>
            </w:r>
          </w:p>
          <w:p w14:paraId="3BFD474F" w14:textId="77777777" w:rsidR="00DC3F16" w:rsidRPr="003854B0" w:rsidRDefault="00DC3F16" w:rsidP="00DC3F16">
            <w:pPr>
              <w:contextualSpacing/>
              <w:jc w:val="both"/>
              <w:rPr>
                <w:rFonts w:ascii="Arial" w:hAnsi="Arial" w:cs="Arial"/>
                <w:sz w:val="17"/>
                <w:szCs w:val="17"/>
              </w:rPr>
            </w:pPr>
            <w:r>
              <w:rPr>
                <w:rFonts w:ascii="Arial" w:hAnsi="Arial" w:cs="Arial"/>
                <w:sz w:val="17"/>
                <w:szCs w:val="17"/>
              </w:rPr>
              <w:t>Prestaciones económicas en p</w:t>
            </w:r>
            <w:r w:rsidRPr="003854B0">
              <w:rPr>
                <w:rFonts w:ascii="Arial" w:hAnsi="Arial" w:cs="Arial"/>
                <w:sz w:val="17"/>
                <w:szCs w:val="17"/>
              </w:rPr>
              <w:t xml:space="preserve">ensión </w:t>
            </w:r>
            <w:r>
              <w:rPr>
                <w:rFonts w:ascii="Arial" w:hAnsi="Arial" w:cs="Arial"/>
                <w:sz w:val="17"/>
                <w:szCs w:val="17"/>
              </w:rPr>
              <w:t>p</w:t>
            </w:r>
            <w:r w:rsidRPr="003854B0">
              <w:rPr>
                <w:rFonts w:ascii="Arial" w:hAnsi="Arial" w:cs="Arial"/>
                <w:sz w:val="17"/>
                <w:szCs w:val="17"/>
              </w:rPr>
              <w:t>ermanente</w:t>
            </w:r>
            <w:r>
              <w:rPr>
                <w:rFonts w:ascii="Arial" w:hAnsi="Arial" w:cs="Arial"/>
                <w:sz w:val="17"/>
                <w:szCs w:val="17"/>
              </w:rPr>
              <w:t>, t</w:t>
            </w:r>
            <w:r w:rsidRPr="003854B0">
              <w:rPr>
                <w:rFonts w:ascii="Arial" w:hAnsi="Arial" w:cs="Arial"/>
                <w:sz w:val="17"/>
                <w:szCs w:val="17"/>
              </w:rPr>
              <w:t xml:space="preserve">emporal y </w:t>
            </w:r>
            <w:r>
              <w:rPr>
                <w:rFonts w:ascii="Arial" w:hAnsi="Arial" w:cs="Arial"/>
                <w:sz w:val="17"/>
                <w:szCs w:val="17"/>
              </w:rPr>
              <w:t>c</w:t>
            </w:r>
            <w:r w:rsidRPr="003854B0">
              <w:rPr>
                <w:rFonts w:ascii="Arial" w:hAnsi="Arial" w:cs="Arial"/>
                <w:sz w:val="17"/>
                <w:szCs w:val="17"/>
              </w:rPr>
              <w:t>uota mortuoria.</w:t>
            </w:r>
          </w:p>
          <w:p w14:paraId="7EA57FF5" w14:textId="77777777" w:rsidR="003854B0" w:rsidRPr="003854B0" w:rsidRDefault="003854B0" w:rsidP="003854B0">
            <w:pPr>
              <w:contextualSpacing/>
              <w:jc w:val="both"/>
              <w:rPr>
                <w:rFonts w:ascii="Arial" w:hAnsi="Arial" w:cs="Arial"/>
                <w:sz w:val="17"/>
                <w:szCs w:val="17"/>
              </w:rPr>
            </w:pPr>
          </w:p>
        </w:tc>
        <w:tc>
          <w:tcPr>
            <w:tcW w:w="6237" w:type="dxa"/>
          </w:tcPr>
          <w:p w14:paraId="7E253F19" w14:textId="75F29312" w:rsidR="00CF3BED" w:rsidRPr="00CF3BED" w:rsidRDefault="00CF3BED" w:rsidP="00CF3BED">
            <w:pPr>
              <w:contextualSpacing/>
              <w:jc w:val="both"/>
              <w:rPr>
                <w:rFonts w:ascii="Arial" w:hAnsi="Arial" w:cs="Arial"/>
                <w:sz w:val="17"/>
                <w:szCs w:val="17"/>
              </w:rPr>
            </w:pPr>
            <w:r w:rsidRPr="00CF3BED">
              <w:rPr>
                <w:rFonts w:ascii="Arial" w:hAnsi="Arial" w:cs="Arial"/>
                <w:sz w:val="17"/>
                <w:szCs w:val="17"/>
              </w:rPr>
              <w:t xml:space="preserve">Si el alumno cuenta con alguna previsión de salud (Isapre o Fonasa o Dipreca o Capredena u otra) operarán siempre primero alguna de éstas y luego se activará el seguro de accidentes. Además, los y las estudiantes se podrán atender con preferencia en los centros médicos asociados a GEA llamando al fono: +56 228203332 presentando sólo la cedula de identidad, no será necesario cancelar algún monto si el total de la cuenta a pagar es inferior a las UF350 anuales por alumno. Si el alumno quisiera atenderse en otro centro de salud privado debe asistir al centro asistencial que desee y que sea favorable según su plan de salud y/o preferencia. En este caso deberás cancelar la atención médica y luego podrás reembolsar los gastos médicos en la compañía aseguradora con un tope de UF350 anuales. </w:t>
            </w:r>
          </w:p>
          <w:p w14:paraId="2543D122" w14:textId="0FAB2F3F" w:rsidR="00234C46" w:rsidRDefault="00CF3BED" w:rsidP="00CF3BED">
            <w:pPr>
              <w:contextualSpacing/>
              <w:jc w:val="both"/>
              <w:rPr>
                <w:rFonts w:ascii="Arial" w:hAnsi="Arial" w:cs="Arial"/>
                <w:sz w:val="17"/>
                <w:szCs w:val="17"/>
              </w:rPr>
            </w:pPr>
            <w:r w:rsidRPr="00CF3BED">
              <w:rPr>
                <w:rFonts w:ascii="Arial" w:hAnsi="Arial" w:cs="Arial"/>
                <w:sz w:val="17"/>
                <w:szCs w:val="17"/>
              </w:rPr>
              <w:t>Si no cuentas con alguna previsión de salud, te podrás atender con alguno de nuestros prestadores haciendo uso del seguro de accidente con un tope anual UF350 para alumnos vigentes debiendo si pagar el 50% del valor de la atención, o asistir a algún otro centro de salud de libre elección, y en este caso deberás cancelar el total de la cuenta y luego enviar los documentos para reembolso, el máximo de la devolución en este caso será el 100% del total de lo solicitado con tope de UF350. O podrás asistir a un centro asistencial del sistema público en donde no pagas nada dado que te acoges al seguro escolar ley 16.744.</w:t>
            </w:r>
          </w:p>
        </w:tc>
      </w:tr>
      <w:tr w:rsidR="003854B0" w14:paraId="75D19C70" w14:textId="77777777" w:rsidTr="00DC3F16">
        <w:tc>
          <w:tcPr>
            <w:tcW w:w="2278" w:type="dxa"/>
          </w:tcPr>
          <w:p w14:paraId="57F26772" w14:textId="77777777" w:rsidR="003854B0" w:rsidRPr="00B2175C" w:rsidRDefault="00EB3D33" w:rsidP="003854B0">
            <w:pPr>
              <w:jc w:val="both"/>
              <w:rPr>
                <w:rFonts w:ascii="Arial" w:hAnsi="Arial" w:cs="Arial"/>
                <w:b/>
                <w:sz w:val="17"/>
                <w:szCs w:val="17"/>
              </w:rPr>
            </w:pPr>
            <w:r w:rsidRPr="00B2175C">
              <w:rPr>
                <w:rFonts w:ascii="Arial" w:hAnsi="Arial" w:cs="Arial"/>
                <w:b/>
                <w:sz w:val="17"/>
                <w:szCs w:val="17"/>
              </w:rPr>
              <w:t>Quién denuncia el accidente</w:t>
            </w:r>
          </w:p>
        </w:tc>
        <w:tc>
          <w:tcPr>
            <w:tcW w:w="5655" w:type="dxa"/>
          </w:tcPr>
          <w:p w14:paraId="09775935" w14:textId="77777777" w:rsidR="003854B0" w:rsidRPr="003854B0" w:rsidRDefault="00CD4622" w:rsidP="00CD4622">
            <w:pPr>
              <w:contextualSpacing/>
              <w:jc w:val="both"/>
              <w:rPr>
                <w:rFonts w:ascii="Arial" w:hAnsi="Arial" w:cs="Arial"/>
                <w:sz w:val="17"/>
                <w:szCs w:val="17"/>
              </w:rPr>
            </w:pPr>
            <w:r>
              <w:rPr>
                <w:rFonts w:ascii="Arial" w:hAnsi="Arial" w:cs="Arial"/>
                <w:sz w:val="17"/>
                <w:szCs w:val="17"/>
              </w:rPr>
              <w:t>El j</w:t>
            </w:r>
            <w:r w:rsidR="00EB3D33" w:rsidRPr="003854B0">
              <w:rPr>
                <w:rFonts w:ascii="Arial" w:hAnsi="Arial" w:cs="Arial"/>
                <w:sz w:val="17"/>
                <w:szCs w:val="17"/>
              </w:rPr>
              <w:t>efe d</w:t>
            </w:r>
            <w:r>
              <w:rPr>
                <w:rFonts w:ascii="Arial" w:hAnsi="Arial" w:cs="Arial"/>
                <w:sz w:val="17"/>
                <w:szCs w:val="17"/>
              </w:rPr>
              <w:t>el Establecimiento Educacional, e</w:t>
            </w:r>
            <w:r w:rsidR="00EB3D33" w:rsidRPr="003854B0">
              <w:rPr>
                <w:rFonts w:ascii="Arial" w:hAnsi="Arial" w:cs="Arial"/>
                <w:sz w:val="17"/>
                <w:szCs w:val="17"/>
              </w:rPr>
              <w:t>l médico a quién corresponda conocer</w:t>
            </w:r>
            <w:r>
              <w:rPr>
                <w:rFonts w:ascii="Arial" w:hAnsi="Arial" w:cs="Arial"/>
                <w:sz w:val="17"/>
                <w:szCs w:val="17"/>
              </w:rPr>
              <w:t xml:space="preserve"> y tratar un accidente escolar, </w:t>
            </w:r>
            <w:r w:rsidR="00EB3D33" w:rsidRPr="003854B0">
              <w:rPr>
                <w:rFonts w:ascii="Arial" w:hAnsi="Arial" w:cs="Arial"/>
                <w:sz w:val="17"/>
                <w:szCs w:val="17"/>
              </w:rPr>
              <w:t>el propio acci</w:t>
            </w:r>
            <w:r>
              <w:rPr>
                <w:rFonts w:ascii="Arial" w:hAnsi="Arial" w:cs="Arial"/>
                <w:sz w:val="17"/>
                <w:szCs w:val="17"/>
              </w:rPr>
              <w:t xml:space="preserve">dentado o quién lo representen debiendo llevar el formulario dentro de las próximas 24 horas. </w:t>
            </w:r>
          </w:p>
        </w:tc>
        <w:tc>
          <w:tcPr>
            <w:tcW w:w="6237" w:type="dxa"/>
          </w:tcPr>
          <w:p w14:paraId="42A60319" w14:textId="60DAE990" w:rsidR="003854B0" w:rsidRDefault="00CD4622" w:rsidP="003854B0">
            <w:pPr>
              <w:contextualSpacing/>
              <w:jc w:val="both"/>
              <w:rPr>
                <w:rFonts w:ascii="Arial" w:hAnsi="Arial" w:cs="Arial"/>
                <w:sz w:val="17"/>
                <w:szCs w:val="17"/>
              </w:rPr>
            </w:pPr>
            <w:r>
              <w:rPr>
                <w:rFonts w:ascii="Arial" w:hAnsi="Arial" w:cs="Arial"/>
                <w:sz w:val="17"/>
                <w:szCs w:val="17"/>
              </w:rPr>
              <w:t>El alumno</w:t>
            </w:r>
            <w:r w:rsidR="00AF68A6">
              <w:rPr>
                <w:rFonts w:ascii="Arial" w:hAnsi="Arial" w:cs="Arial"/>
                <w:sz w:val="17"/>
                <w:szCs w:val="17"/>
              </w:rPr>
              <w:t>/a</w:t>
            </w:r>
            <w:r>
              <w:rPr>
                <w:rFonts w:ascii="Arial" w:hAnsi="Arial" w:cs="Arial"/>
                <w:sz w:val="17"/>
                <w:szCs w:val="17"/>
              </w:rPr>
              <w:t xml:space="preserve">. </w:t>
            </w:r>
          </w:p>
        </w:tc>
      </w:tr>
      <w:tr w:rsidR="00CD4622" w14:paraId="5341DE4A" w14:textId="77777777" w:rsidTr="00DC3F16">
        <w:tc>
          <w:tcPr>
            <w:tcW w:w="2278" w:type="dxa"/>
          </w:tcPr>
          <w:p w14:paraId="056B6409" w14:textId="77777777" w:rsidR="00CD4622" w:rsidRPr="003854B0" w:rsidRDefault="00CD4622" w:rsidP="00CD4622">
            <w:pPr>
              <w:contextualSpacing/>
              <w:jc w:val="both"/>
              <w:rPr>
                <w:rFonts w:ascii="Arial" w:hAnsi="Arial" w:cs="Arial"/>
                <w:b/>
                <w:sz w:val="17"/>
                <w:szCs w:val="17"/>
              </w:rPr>
            </w:pPr>
            <w:r w:rsidRPr="00B2175C">
              <w:rPr>
                <w:rFonts w:ascii="Arial" w:hAnsi="Arial" w:cs="Arial"/>
                <w:b/>
                <w:sz w:val="17"/>
                <w:szCs w:val="17"/>
              </w:rPr>
              <w:lastRenderedPageBreak/>
              <w:t>Cómo se reembolsa</w:t>
            </w:r>
          </w:p>
          <w:p w14:paraId="03E95DC1" w14:textId="77777777" w:rsidR="00CD4622" w:rsidRPr="00B2175C" w:rsidRDefault="00CD4622" w:rsidP="003854B0">
            <w:pPr>
              <w:jc w:val="both"/>
              <w:rPr>
                <w:rFonts w:ascii="Arial" w:hAnsi="Arial" w:cs="Arial"/>
                <w:b/>
                <w:sz w:val="17"/>
                <w:szCs w:val="17"/>
              </w:rPr>
            </w:pPr>
          </w:p>
        </w:tc>
        <w:tc>
          <w:tcPr>
            <w:tcW w:w="5655" w:type="dxa"/>
          </w:tcPr>
          <w:p w14:paraId="2ABE563C" w14:textId="77777777" w:rsidR="00CD4622" w:rsidRPr="003854B0" w:rsidRDefault="00CD4622" w:rsidP="00EB3D33">
            <w:pPr>
              <w:contextualSpacing/>
              <w:jc w:val="both"/>
              <w:rPr>
                <w:rFonts w:ascii="Arial" w:hAnsi="Arial" w:cs="Arial"/>
                <w:sz w:val="17"/>
                <w:szCs w:val="17"/>
              </w:rPr>
            </w:pPr>
            <w:r>
              <w:rPr>
                <w:rFonts w:ascii="Arial" w:hAnsi="Arial" w:cs="Arial"/>
                <w:sz w:val="17"/>
                <w:szCs w:val="17"/>
              </w:rPr>
              <w:t>No es necesario</w:t>
            </w:r>
          </w:p>
        </w:tc>
        <w:tc>
          <w:tcPr>
            <w:tcW w:w="6237" w:type="dxa"/>
          </w:tcPr>
          <w:p w14:paraId="0103498D" w14:textId="77777777" w:rsidR="00CF3BED" w:rsidRPr="00CF3BED" w:rsidRDefault="00CF3BED" w:rsidP="00CF3BED">
            <w:pPr>
              <w:contextualSpacing/>
              <w:jc w:val="both"/>
              <w:rPr>
                <w:rFonts w:ascii="Arial" w:hAnsi="Arial" w:cs="Arial"/>
                <w:sz w:val="17"/>
                <w:szCs w:val="17"/>
              </w:rPr>
            </w:pPr>
            <w:r w:rsidRPr="00CF3BED">
              <w:rPr>
                <w:rFonts w:ascii="Arial" w:hAnsi="Arial" w:cs="Arial"/>
                <w:sz w:val="17"/>
                <w:szCs w:val="17"/>
              </w:rPr>
              <w:t xml:space="preserve">Para solicitar reembolso se debe presentar a Director/ra DAE de tu sede los siguientes documentos: </w:t>
            </w:r>
          </w:p>
          <w:p w14:paraId="76295D97" w14:textId="77777777" w:rsidR="00CF3BED" w:rsidRPr="00CF3BED" w:rsidRDefault="00CF3BED" w:rsidP="00CF3BED">
            <w:pPr>
              <w:contextualSpacing/>
              <w:jc w:val="both"/>
              <w:rPr>
                <w:rFonts w:ascii="Arial" w:hAnsi="Arial" w:cs="Arial"/>
                <w:sz w:val="17"/>
                <w:szCs w:val="17"/>
              </w:rPr>
            </w:pPr>
            <w:r w:rsidRPr="00CF3BED">
              <w:rPr>
                <w:rFonts w:ascii="Arial" w:hAnsi="Arial" w:cs="Arial"/>
                <w:sz w:val="17"/>
                <w:szCs w:val="17"/>
              </w:rPr>
              <w:t xml:space="preserve">1) Formulario de denuncia de siniestro, el que podrás encontrar en la Web DAE o en las oficinas DAE. </w:t>
            </w:r>
          </w:p>
          <w:p w14:paraId="2BF872FA" w14:textId="77777777" w:rsidR="00CF3BED" w:rsidRPr="00CF3BED" w:rsidRDefault="00CF3BED" w:rsidP="00CF3BED">
            <w:pPr>
              <w:contextualSpacing/>
              <w:jc w:val="both"/>
              <w:rPr>
                <w:rFonts w:ascii="Arial" w:hAnsi="Arial" w:cs="Arial"/>
                <w:sz w:val="17"/>
                <w:szCs w:val="17"/>
              </w:rPr>
            </w:pPr>
            <w:r w:rsidRPr="00CF3BED">
              <w:rPr>
                <w:rFonts w:ascii="Arial" w:hAnsi="Arial" w:cs="Arial"/>
                <w:sz w:val="17"/>
                <w:szCs w:val="17"/>
              </w:rPr>
              <w:t xml:space="preserve">2) Boletas o bonos originales. </w:t>
            </w:r>
          </w:p>
          <w:p w14:paraId="755FAF44" w14:textId="77777777" w:rsidR="00CF3BED" w:rsidRPr="00CF3BED" w:rsidRDefault="00CF3BED" w:rsidP="00CF3BED">
            <w:pPr>
              <w:contextualSpacing/>
              <w:jc w:val="both"/>
              <w:rPr>
                <w:rFonts w:ascii="Arial" w:hAnsi="Arial" w:cs="Arial"/>
                <w:sz w:val="17"/>
                <w:szCs w:val="17"/>
              </w:rPr>
            </w:pPr>
            <w:r w:rsidRPr="00CF3BED">
              <w:rPr>
                <w:rFonts w:ascii="Arial" w:hAnsi="Arial" w:cs="Arial"/>
                <w:sz w:val="17"/>
                <w:szCs w:val="17"/>
              </w:rPr>
              <w:t xml:space="preserve">3) Receta con la boleta origina. </w:t>
            </w:r>
          </w:p>
          <w:p w14:paraId="72D3CAB9" w14:textId="77777777" w:rsidR="00CF3BED" w:rsidRPr="00CF3BED" w:rsidRDefault="00CF3BED" w:rsidP="00CF3BED">
            <w:pPr>
              <w:contextualSpacing/>
              <w:jc w:val="both"/>
              <w:rPr>
                <w:rFonts w:ascii="Arial" w:hAnsi="Arial" w:cs="Arial"/>
                <w:sz w:val="17"/>
                <w:szCs w:val="17"/>
              </w:rPr>
            </w:pPr>
            <w:r w:rsidRPr="00CF3BED">
              <w:rPr>
                <w:rFonts w:ascii="Arial" w:hAnsi="Arial" w:cs="Arial"/>
                <w:sz w:val="17"/>
                <w:szCs w:val="17"/>
              </w:rPr>
              <w:t xml:space="preserve">4) Ordenes médicas originales. </w:t>
            </w:r>
          </w:p>
          <w:p w14:paraId="42150156" w14:textId="77777777" w:rsidR="00CF3BED" w:rsidRPr="00CF3BED" w:rsidRDefault="00CF3BED" w:rsidP="00CF3BED">
            <w:pPr>
              <w:contextualSpacing/>
              <w:jc w:val="both"/>
              <w:rPr>
                <w:rFonts w:ascii="Arial" w:hAnsi="Arial" w:cs="Arial"/>
                <w:sz w:val="17"/>
                <w:szCs w:val="17"/>
              </w:rPr>
            </w:pPr>
            <w:r w:rsidRPr="00CF3BED">
              <w:rPr>
                <w:rFonts w:ascii="Arial" w:hAnsi="Arial" w:cs="Arial"/>
                <w:sz w:val="17"/>
                <w:szCs w:val="17"/>
              </w:rPr>
              <w:t xml:space="preserve">En caso de que el asegurado tuviese beneficios de alguna Institución de Salud Estatal, Privada y/o Bienestar, deberá hacer uso de ellos previamente. En ese evento, no será exigible la presentación de boletas o facturas originales, en vez de ellas se presentan documentos comprobatorios de los beneficios ya recibidos y del real gasto incurrido por el asegurado. En estos casos sólo serán reembolsados los gastos que realmente sean de cargo del asegurado. </w:t>
            </w:r>
          </w:p>
          <w:p w14:paraId="45A12CD6" w14:textId="27E612A8" w:rsidR="00CD4622" w:rsidRDefault="00CF3BED" w:rsidP="00CF3BED">
            <w:pPr>
              <w:contextualSpacing/>
              <w:jc w:val="both"/>
              <w:rPr>
                <w:rFonts w:ascii="Arial" w:hAnsi="Arial" w:cs="Arial"/>
                <w:sz w:val="17"/>
                <w:szCs w:val="17"/>
              </w:rPr>
            </w:pPr>
            <w:r w:rsidRPr="00CF3BED">
              <w:rPr>
                <w:rFonts w:ascii="Arial" w:hAnsi="Arial" w:cs="Arial"/>
                <w:sz w:val="17"/>
                <w:szCs w:val="17"/>
              </w:rPr>
              <w:t>La aseguradora, en un plazo de 15 días hábiles deberá entregar información de la fecha de pago del monto a reembolsar.</w:t>
            </w:r>
          </w:p>
        </w:tc>
      </w:tr>
      <w:tr w:rsidR="00CD4622" w14:paraId="1C870097" w14:textId="77777777" w:rsidTr="00DC3F16">
        <w:tc>
          <w:tcPr>
            <w:tcW w:w="2278" w:type="dxa"/>
          </w:tcPr>
          <w:p w14:paraId="20F9A0D7" w14:textId="77777777" w:rsidR="00CD4622" w:rsidRPr="00B2175C" w:rsidRDefault="00CD4622" w:rsidP="00CD4622">
            <w:pPr>
              <w:contextualSpacing/>
              <w:jc w:val="both"/>
              <w:rPr>
                <w:rFonts w:ascii="Arial" w:hAnsi="Arial" w:cs="Arial"/>
                <w:b/>
                <w:sz w:val="17"/>
                <w:szCs w:val="17"/>
              </w:rPr>
            </w:pPr>
            <w:r w:rsidRPr="00B2175C">
              <w:rPr>
                <w:rFonts w:ascii="Arial" w:hAnsi="Arial" w:cs="Arial"/>
                <w:b/>
                <w:sz w:val="17"/>
                <w:szCs w:val="17"/>
              </w:rPr>
              <w:t>Seguro por Muerte Accidental</w:t>
            </w:r>
            <w:r w:rsidR="00DD042D" w:rsidRPr="00B2175C">
              <w:rPr>
                <w:rFonts w:ascii="Arial" w:hAnsi="Arial" w:cs="Arial"/>
                <w:b/>
                <w:sz w:val="17"/>
                <w:szCs w:val="17"/>
              </w:rPr>
              <w:t xml:space="preserve">. </w:t>
            </w:r>
          </w:p>
        </w:tc>
        <w:tc>
          <w:tcPr>
            <w:tcW w:w="5655" w:type="dxa"/>
          </w:tcPr>
          <w:p w14:paraId="239C176C" w14:textId="77777777" w:rsidR="00CD4622" w:rsidRDefault="00DD042D" w:rsidP="00DD042D">
            <w:pPr>
              <w:contextualSpacing/>
              <w:jc w:val="both"/>
              <w:rPr>
                <w:rFonts w:ascii="Arial" w:hAnsi="Arial" w:cs="Arial"/>
                <w:sz w:val="17"/>
                <w:szCs w:val="17"/>
              </w:rPr>
            </w:pPr>
            <w:r>
              <w:rPr>
                <w:rFonts w:ascii="Arial" w:hAnsi="Arial" w:cs="Arial"/>
                <w:sz w:val="17"/>
                <w:szCs w:val="17"/>
              </w:rPr>
              <w:t xml:space="preserve">La persona o institución que compruebe haberse hecho cargo de los funerales de la víctima recibirá como cuota mortuoria, con el fin de cubrir el valor de ellos, una suma equivalente a dos sueldos vitrales mensuales. </w:t>
            </w:r>
          </w:p>
        </w:tc>
        <w:tc>
          <w:tcPr>
            <w:tcW w:w="6237" w:type="dxa"/>
          </w:tcPr>
          <w:p w14:paraId="364FA2A6" w14:textId="4FAF6705" w:rsidR="00CF3BED" w:rsidRDefault="00CF3BED" w:rsidP="00CD4622">
            <w:pPr>
              <w:contextualSpacing/>
              <w:jc w:val="both"/>
              <w:rPr>
                <w:rFonts w:ascii="Arial" w:hAnsi="Arial" w:cs="Arial"/>
                <w:sz w:val="17"/>
                <w:szCs w:val="17"/>
              </w:rPr>
            </w:pPr>
            <w:r w:rsidRPr="00CF3BED">
              <w:rPr>
                <w:rFonts w:ascii="Arial" w:hAnsi="Arial" w:cs="Arial"/>
                <w:sz w:val="17"/>
                <w:szCs w:val="17"/>
              </w:rPr>
              <w:t>Se pagarán UF500 al beneficiario de acuerdo a la posesión efectiva.</w:t>
            </w:r>
          </w:p>
          <w:p w14:paraId="363B505E" w14:textId="5EDCB831" w:rsidR="00CD4622" w:rsidRPr="00CD4622" w:rsidRDefault="00CD4622" w:rsidP="00CD4622">
            <w:pPr>
              <w:contextualSpacing/>
              <w:jc w:val="both"/>
              <w:rPr>
                <w:rFonts w:ascii="Arial" w:hAnsi="Arial" w:cs="Arial"/>
                <w:sz w:val="17"/>
                <w:szCs w:val="17"/>
              </w:rPr>
            </w:pPr>
          </w:p>
        </w:tc>
      </w:tr>
      <w:tr w:rsidR="00CD4622" w14:paraId="6BEF4DC6" w14:textId="77777777" w:rsidTr="00DC3F16">
        <w:tc>
          <w:tcPr>
            <w:tcW w:w="2278" w:type="dxa"/>
          </w:tcPr>
          <w:p w14:paraId="022E5D8D" w14:textId="77777777" w:rsidR="00CD4622" w:rsidRPr="00420786" w:rsidRDefault="00CD4622" w:rsidP="00CD4622">
            <w:pPr>
              <w:contextualSpacing/>
              <w:jc w:val="both"/>
              <w:rPr>
                <w:rFonts w:ascii="Arial" w:hAnsi="Arial" w:cs="Arial"/>
                <w:b/>
                <w:sz w:val="17"/>
                <w:szCs w:val="17"/>
                <w:lang w:val="pt-BR"/>
              </w:rPr>
            </w:pPr>
            <w:r w:rsidRPr="003854B0">
              <w:rPr>
                <w:rFonts w:ascii="Arial" w:hAnsi="Arial" w:cs="Arial"/>
                <w:b/>
                <w:sz w:val="17"/>
                <w:szCs w:val="17"/>
                <w:lang w:val="pt-BR"/>
              </w:rPr>
              <w:t>Invalidez total o permanente</w:t>
            </w:r>
            <w:r w:rsidRPr="00B2175C">
              <w:rPr>
                <w:rFonts w:ascii="Arial" w:hAnsi="Arial" w:cs="Arial"/>
                <w:b/>
                <w:sz w:val="17"/>
                <w:szCs w:val="17"/>
                <w:lang w:val="pt-BR"/>
              </w:rPr>
              <w:t xml:space="preserve"> o Desmembramento </w:t>
            </w:r>
          </w:p>
        </w:tc>
        <w:tc>
          <w:tcPr>
            <w:tcW w:w="5655" w:type="dxa"/>
          </w:tcPr>
          <w:p w14:paraId="47C7A2A5" w14:textId="3914FA21" w:rsidR="00CD4622" w:rsidRDefault="00424D09" w:rsidP="00DC76FF">
            <w:pPr>
              <w:contextualSpacing/>
              <w:jc w:val="both"/>
              <w:rPr>
                <w:rFonts w:ascii="Arial" w:hAnsi="Arial" w:cs="Arial"/>
                <w:sz w:val="17"/>
                <w:szCs w:val="17"/>
              </w:rPr>
            </w:pPr>
            <w:r>
              <w:rPr>
                <w:rFonts w:ascii="Arial" w:hAnsi="Arial" w:cs="Arial"/>
                <w:sz w:val="17"/>
                <w:szCs w:val="17"/>
              </w:rPr>
              <w:t>Todo estudiante invalidado a consecuencia de un accidente escolar, que experimentare una merma apreciable en su capacidad de estudio</w:t>
            </w:r>
            <w:r w:rsidR="00DC76FF">
              <w:rPr>
                <w:rFonts w:ascii="Arial" w:hAnsi="Arial" w:cs="Arial"/>
                <w:sz w:val="17"/>
                <w:szCs w:val="17"/>
              </w:rPr>
              <w:t>, calificado</w:t>
            </w:r>
            <w:r>
              <w:rPr>
                <w:rFonts w:ascii="Arial" w:hAnsi="Arial" w:cs="Arial"/>
                <w:sz w:val="17"/>
                <w:szCs w:val="17"/>
              </w:rPr>
              <w:t xml:space="preserve"> por el servicio nacional de salud, tendrá derecho a recibir educación gratuita de parte del estado, el que deberá proporcionarla en establecimientos comunes o espaciales, de acuerdo con la naturaleza de la invalidez y de las condiciones residuales de estudio de la víctima</w:t>
            </w:r>
            <w:r w:rsidR="00DC76FF">
              <w:rPr>
                <w:rFonts w:ascii="Arial" w:hAnsi="Arial" w:cs="Arial"/>
                <w:sz w:val="17"/>
                <w:szCs w:val="17"/>
              </w:rPr>
              <w:t xml:space="preserve">. </w:t>
            </w:r>
            <w:r w:rsidR="00D967D8">
              <w:rPr>
                <w:rFonts w:ascii="Arial" w:hAnsi="Arial" w:cs="Arial"/>
                <w:sz w:val="17"/>
                <w:szCs w:val="17"/>
              </w:rPr>
              <w:t xml:space="preserve">Si el estudiante, como consecuencia de </w:t>
            </w:r>
            <w:r w:rsidR="00CA404D">
              <w:rPr>
                <w:rFonts w:ascii="Arial" w:hAnsi="Arial" w:cs="Arial"/>
                <w:sz w:val="17"/>
                <w:szCs w:val="17"/>
              </w:rPr>
              <w:t>un accidente escolar</w:t>
            </w:r>
            <w:r w:rsidR="00D967D8">
              <w:rPr>
                <w:rFonts w:ascii="Arial" w:hAnsi="Arial" w:cs="Arial"/>
                <w:sz w:val="17"/>
                <w:szCs w:val="17"/>
              </w:rPr>
              <w:t xml:space="preserve"> perdiere a lo menos un 70% de su capacidad para trabajar actual o futura, según evaluación, tendrá derecha a una pensión por invalidez igual a un sueldo vital escala a. </w:t>
            </w:r>
          </w:p>
        </w:tc>
        <w:tc>
          <w:tcPr>
            <w:tcW w:w="6237" w:type="dxa"/>
          </w:tcPr>
          <w:p w14:paraId="26B0E935" w14:textId="5675CDDD" w:rsidR="00CD4622" w:rsidRPr="00CD4622" w:rsidRDefault="00CF3BED" w:rsidP="00CF3BED">
            <w:pPr>
              <w:contextualSpacing/>
              <w:jc w:val="both"/>
              <w:rPr>
                <w:rFonts w:ascii="Arial" w:hAnsi="Arial" w:cs="Arial"/>
                <w:sz w:val="17"/>
                <w:szCs w:val="17"/>
              </w:rPr>
            </w:pPr>
            <w:r w:rsidRPr="00CF3BED">
              <w:rPr>
                <w:rFonts w:ascii="Arial" w:hAnsi="Arial" w:cs="Arial"/>
                <w:sz w:val="17"/>
                <w:szCs w:val="17"/>
              </w:rPr>
              <w:t>Todo estudiante que sufra una incapacidad total y permanente por causa de un accidente bajo las causales cubiertas por el Seguro de Accidentes contratado, el seguro entregara UF500. Previa evaluación de la aseguradora</w:t>
            </w:r>
            <w:r>
              <w:rPr>
                <w:rFonts w:ascii="Arial" w:hAnsi="Arial" w:cs="Arial"/>
                <w:sz w:val="17"/>
                <w:szCs w:val="17"/>
              </w:rPr>
              <w:t>.</w:t>
            </w:r>
          </w:p>
        </w:tc>
      </w:tr>
    </w:tbl>
    <w:p w14:paraId="5687959F" w14:textId="77777777" w:rsidR="003854B0" w:rsidRDefault="003854B0" w:rsidP="0020712A">
      <w:pPr>
        <w:jc w:val="both"/>
        <w:rPr>
          <w:rFonts w:ascii="Arial" w:hAnsi="Arial" w:cs="Arial"/>
          <w:sz w:val="17"/>
          <w:szCs w:val="17"/>
        </w:rPr>
      </w:pPr>
    </w:p>
    <w:sectPr w:rsidR="003854B0" w:rsidSect="00B96E4A">
      <w:headerReference w:type="default" r:id="rId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430AC" w14:textId="77777777" w:rsidR="00E95BEC" w:rsidRDefault="00E95BEC" w:rsidP="00A11040">
      <w:pPr>
        <w:spacing w:after="0" w:line="240" w:lineRule="auto"/>
      </w:pPr>
      <w:r>
        <w:separator/>
      </w:r>
    </w:p>
  </w:endnote>
  <w:endnote w:type="continuationSeparator" w:id="0">
    <w:p w14:paraId="2F0F0569" w14:textId="77777777" w:rsidR="00E95BEC" w:rsidRDefault="00E95BEC" w:rsidP="00A11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35BB9" w14:textId="77777777" w:rsidR="00E95BEC" w:rsidRDefault="00E95BEC" w:rsidP="00A11040">
      <w:pPr>
        <w:spacing w:after="0" w:line="240" w:lineRule="auto"/>
      </w:pPr>
      <w:r>
        <w:separator/>
      </w:r>
    </w:p>
  </w:footnote>
  <w:footnote w:type="continuationSeparator" w:id="0">
    <w:p w14:paraId="4D382E59" w14:textId="77777777" w:rsidR="00E95BEC" w:rsidRDefault="00E95BEC" w:rsidP="00A11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692A4" w14:textId="3EE5EF94" w:rsidR="00A11040" w:rsidRPr="00A11040" w:rsidRDefault="00A11040" w:rsidP="00A11040">
    <w:pPr>
      <w:jc w:val="center"/>
      <w:rPr>
        <w:rFonts w:ascii="Arial" w:hAnsi="Arial" w:cs="Arial"/>
        <w:b/>
        <w:bCs/>
        <w:sz w:val="17"/>
        <w:szCs w:val="17"/>
        <w:u w:val="single"/>
      </w:rPr>
    </w:pPr>
    <w:r w:rsidRPr="00A11040">
      <w:rPr>
        <w:rFonts w:ascii="Arial" w:hAnsi="Arial" w:cs="Arial"/>
        <w:b/>
        <w:bCs/>
        <w:sz w:val="17"/>
        <w:szCs w:val="17"/>
        <w:u w:val="single"/>
      </w:rPr>
      <w:t xml:space="preserve">Diferencias entre Seguros Escolar “Ley 16.744” y Seguro de Accidentes Personales “Santo Tomás – </w:t>
    </w:r>
    <w:r w:rsidR="00A16BC1">
      <w:rPr>
        <w:rFonts w:ascii="Arial" w:hAnsi="Arial" w:cs="Arial"/>
        <w:b/>
        <w:bCs/>
        <w:sz w:val="17"/>
        <w:szCs w:val="17"/>
        <w:u w:val="single"/>
      </w:rPr>
      <w:t>MAPFRE Vida</w:t>
    </w:r>
    <w:r w:rsidRPr="00A11040">
      <w:rPr>
        <w:rFonts w:ascii="Arial" w:hAnsi="Arial" w:cs="Arial"/>
        <w:b/>
        <w:bCs/>
        <w:sz w:val="17"/>
        <w:szCs w:val="17"/>
        <w:u w:val="single"/>
      </w:rPr>
      <w:t>”</w:t>
    </w:r>
  </w:p>
  <w:p w14:paraId="65F79051" w14:textId="14734071" w:rsidR="00A11040" w:rsidRDefault="00A11040">
    <w:pPr>
      <w:pStyle w:val="Encabezado"/>
    </w:pPr>
  </w:p>
  <w:p w14:paraId="5FFF7FB3" w14:textId="77777777" w:rsidR="00A11040" w:rsidRDefault="00A110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DF17B5"/>
    <w:multiLevelType w:val="hybridMultilevel"/>
    <w:tmpl w:val="23D4F1F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471291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54B0"/>
    <w:rsid w:val="000F6C3D"/>
    <w:rsid w:val="001A04CB"/>
    <w:rsid w:val="0020712A"/>
    <w:rsid w:val="00234C46"/>
    <w:rsid w:val="002A76AB"/>
    <w:rsid w:val="002B794D"/>
    <w:rsid w:val="003854B0"/>
    <w:rsid w:val="00420786"/>
    <w:rsid w:val="00424D09"/>
    <w:rsid w:val="004E5065"/>
    <w:rsid w:val="005B110F"/>
    <w:rsid w:val="005B6EEE"/>
    <w:rsid w:val="005D70DF"/>
    <w:rsid w:val="005E592C"/>
    <w:rsid w:val="005E5E91"/>
    <w:rsid w:val="007702F3"/>
    <w:rsid w:val="009E2570"/>
    <w:rsid w:val="00A11040"/>
    <w:rsid w:val="00A16BC1"/>
    <w:rsid w:val="00AA1BB2"/>
    <w:rsid w:val="00AF68A6"/>
    <w:rsid w:val="00B2175C"/>
    <w:rsid w:val="00B65F8E"/>
    <w:rsid w:val="00B96E4A"/>
    <w:rsid w:val="00CA404D"/>
    <w:rsid w:val="00CC0E12"/>
    <w:rsid w:val="00CD4622"/>
    <w:rsid w:val="00CE00E4"/>
    <w:rsid w:val="00CF3BED"/>
    <w:rsid w:val="00D55E2F"/>
    <w:rsid w:val="00D967D8"/>
    <w:rsid w:val="00DB626B"/>
    <w:rsid w:val="00DC3F16"/>
    <w:rsid w:val="00DC76FF"/>
    <w:rsid w:val="00DD042D"/>
    <w:rsid w:val="00E42FD1"/>
    <w:rsid w:val="00E60F48"/>
    <w:rsid w:val="00E95BEC"/>
    <w:rsid w:val="00EB3D33"/>
    <w:rsid w:val="00F51F2E"/>
    <w:rsid w:val="00FB219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DAF34"/>
  <w15:docId w15:val="{6913A256-3772-4066-B7D8-842A1831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4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54B0"/>
    <w:pPr>
      <w:ind w:left="720"/>
      <w:contextualSpacing/>
    </w:pPr>
  </w:style>
  <w:style w:type="table" w:styleId="Tablaconcuadrcula">
    <w:name w:val="Table Grid"/>
    <w:basedOn w:val="Tablanormal"/>
    <w:uiPriority w:val="39"/>
    <w:rsid w:val="00385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071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712A"/>
    <w:rPr>
      <w:rFonts w:ascii="Tahoma" w:hAnsi="Tahoma" w:cs="Tahoma"/>
      <w:sz w:val="16"/>
      <w:szCs w:val="16"/>
    </w:rPr>
  </w:style>
  <w:style w:type="paragraph" w:styleId="Encabezado">
    <w:name w:val="header"/>
    <w:basedOn w:val="Normal"/>
    <w:link w:val="EncabezadoCar"/>
    <w:uiPriority w:val="99"/>
    <w:unhideWhenUsed/>
    <w:rsid w:val="00A110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1040"/>
  </w:style>
  <w:style w:type="paragraph" w:styleId="Piedepgina">
    <w:name w:val="footer"/>
    <w:basedOn w:val="Normal"/>
    <w:link w:val="PiedepginaCar"/>
    <w:uiPriority w:val="99"/>
    <w:unhideWhenUsed/>
    <w:rsid w:val="00A110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1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992</Words>
  <Characters>5462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Macarena Orellana Stegmann</dc:creator>
  <cp:lastModifiedBy>Rodrigo Alejandro Sanchez Galleguillos</cp:lastModifiedBy>
  <cp:revision>19</cp:revision>
  <dcterms:created xsi:type="dcterms:W3CDTF">2017-03-16T11:30:00Z</dcterms:created>
  <dcterms:modified xsi:type="dcterms:W3CDTF">2025-03-11T14:11:00Z</dcterms:modified>
</cp:coreProperties>
</file>